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4E6E6"/>
  <w:body>
    <w:p w:rsidR="002247A6" w:rsidRDefault="002247A6" w:rsidP="00752A5B"/>
    <w:p w:rsidR="00752A5B" w:rsidRDefault="00752A5B" w:rsidP="00752A5B"/>
    <w:p w:rsidR="00752A5B" w:rsidRDefault="006568C1" w:rsidP="00752A5B">
      <w:pPr>
        <w:pStyle w:val="H1"/>
        <w:ind w:left="0"/>
        <w:rPr>
          <w:rFonts w:eastAsia="Times New Roman" w:cs="Times New Roman"/>
          <w:bCs w:val="0"/>
          <w:color w:val="auto"/>
          <w:sz w:val="24"/>
          <w:szCs w:val="20"/>
          <w:lang w:val="de-DE" w:eastAsia="de-DE"/>
        </w:rPr>
      </w:pPr>
      <w:r>
        <w:rPr>
          <w:rFonts w:eastAsia="Times New Roman" w:cs="Times New Roman"/>
          <w:bCs w:val="0"/>
          <w:color w:val="auto"/>
          <w:sz w:val="24"/>
          <w:szCs w:val="20"/>
          <w:lang w:val="de-DE" w:eastAsia="de-DE"/>
        </w:rPr>
        <w:t>31</w:t>
      </w:r>
      <w:r w:rsidR="006A4209">
        <w:rPr>
          <w:rFonts w:eastAsia="Times New Roman" w:cs="Times New Roman"/>
          <w:bCs w:val="0"/>
          <w:color w:val="auto"/>
          <w:sz w:val="24"/>
          <w:szCs w:val="20"/>
          <w:lang w:val="de-DE" w:eastAsia="de-DE"/>
        </w:rPr>
        <w:t>. August</w:t>
      </w:r>
      <w:r>
        <w:rPr>
          <w:rFonts w:eastAsia="Times New Roman" w:cs="Times New Roman"/>
          <w:bCs w:val="0"/>
          <w:color w:val="auto"/>
          <w:sz w:val="24"/>
          <w:szCs w:val="20"/>
          <w:lang w:val="de-DE" w:eastAsia="de-DE"/>
        </w:rPr>
        <w:t xml:space="preserve"> 2021</w:t>
      </w:r>
    </w:p>
    <w:p w:rsidR="006A4209" w:rsidRPr="006A4209" w:rsidRDefault="006A4209" w:rsidP="006A4209">
      <w:pPr>
        <w:pStyle w:val="H1"/>
        <w:rPr>
          <w:b/>
          <w:lang w:val="de-DE"/>
        </w:rPr>
      </w:pPr>
      <w:r w:rsidRPr="006A4209">
        <w:rPr>
          <w:b/>
          <w:lang w:val="de-DE"/>
        </w:rPr>
        <w:t>Innovationsprogramm für Geschäftsmodelle und Pionierlösungen (IGP)</w:t>
      </w:r>
    </w:p>
    <w:p w:rsidR="00752A5B" w:rsidRPr="00752A5B" w:rsidRDefault="006A4209" w:rsidP="00752A5B">
      <w:pPr>
        <w:pStyle w:val="H2"/>
      </w:pPr>
      <w:proofErr w:type="spellStart"/>
      <w:r w:rsidRPr="006A4209">
        <w:t>Veröffentlichung</w:t>
      </w:r>
      <w:proofErr w:type="spellEnd"/>
      <w:r w:rsidRPr="006A4209">
        <w:t xml:space="preserve"> des </w:t>
      </w:r>
      <w:proofErr w:type="spellStart"/>
      <w:r w:rsidRPr="006A4209">
        <w:t>ersten</w:t>
      </w:r>
      <w:proofErr w:type="spellEnd"/>
      <w:r w:rsidRPr="006A4209">
        <w:t xml:space="preserve"> </w:t>
      </w:r>
      <w:proofErr w:type="spellStart"/>
      <w:r w:rsidRPr="006A4209">
        <w:t>Evaluationsberichts</w:t>
      </w:r>
      <w:proofErr w:type="spellEnd"/>
      <w:r w:rsidR="00752A5B" w:rsidRPr="00752A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C03BF" wp14:editId="5178B2FE">
                <wp:simplePos x="0" y="0"/>
                <wp:positionH relativeFrom="column">
                  <wp:posOffset>7109460</wp:posOffset>
                </wp:positionH>
                <wp:positionV relativeFrom="paragraph">
                  <wp:posOffset>2312035</wp:posOffset>
                </wp:positionV>
                <wp:extent cx="441960" cy="9090025"/>
                <wp:effectExtent l="0" t="0" r="0" b="3175"/>
                <wp:wrapNone/>
                <wp:docPr id="8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9090025"/>
                        </a:xfrm>
                        <a:prstGeom prst="rect">
                          <a:avLst/>
                        </a:prstGeom>
                        <a:solidFill>
                          <a:srgbClr val="DBE3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8D96B" id="Rechteck 3" o:spid="_x0000_s1026" style="position:absolute;margin-left:559.8pt;margin-top:182.05pt;width:34.8pt;height:7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" fillcolor="#dbe3eb" stroked="f"/>
            </w:pict>
          </mc:Fallback>
        </mc:AlternateContent>
      </w:r>
    </w:p>
    <w:p w:rsidR="006A4209" w:rsidRPr="006A4209" w:rsidRDefault="009128C9" w:rsidP="006A4209">
      <w:pPr>
        <w:pStyle w:val="H3"/>
      </w:pPr>
      <w:r>
        <w:t>Das</w:t>
      </w:r>
      <w:r w:rsidR="006A4209" w:rsidRPr="006A4209">
        <w:t xml:space="preserve"> IGP:</w:t>
      </w:r>
    </w:p>
    <w:p w:rsidR="006A4209" w:rsidRDefault="006A4209" w:rsidP="006A4209">
      <w:pPr>
        <w:pStyle w:val="P"/>
      </w:pPr>
      <w:r w:rsidRPr="006A4209">
        <w:t xml:space="preserve">Das deutsche Modell der Innovationsförderung, das technische Entwicklungen vielfältig unterstützt, ist eine wichtige Quelle des Erfolgs unserer stark mittelständisch geprägten Industrie. Gleichzeitig entstehen bahnbrechende </w:t>
      </w:r>
      <w:r w:rsidRPr="006A4209">
        <w:rPr>
          <w:b/>
        </w:rPr>
        <w:t>Innovationen</w:t>
      </w:r>
      <w:r w:rsidRPr="006A4209">
        <w:t xml:space="preserve"> heute oft auch </w:t>
      </w:r>
      <w:r w:rsidRPr="006A4209">
        <w:rPr>
          <w:b/>
        </w:rPr>
        <w:t>außerhalb klassischer Forschungslabors</w:t>
      </w:r>
      <w:r w:rsidRPr="006A4209">
        <w:t xml:space="preserve">. Vor diesem Hintergrund hat das </w:t>
      </w:r>
      <w:r w:rsidR="009128C9">
        <w:t>Bundesministerium für Wirtschaft und Energie (</w:t>
      </w:r>
      <w:proofErr w:type="spellStart"/>
      <w:r w:rsidRPr="006A4209">
        <w:t>BMWi</w:t>
      </w:r>
      <w:proofErr w:type="spellEnd"/>
      <w:r w:rsidR="009128C9">
        <w:t>)</w:t>
      </w:r>
      <w:r w:rsidRPr="006A4209">
        <w:t xml:space="preserve"> 2019 einen neuen Förderansatz ins Leben gerufen: das IGP. Es zielt erstmals explizit auf </w:t>
      </w:r>
      <w:r w:rsidRPr="006A4209">
        <w:rPr>
          <w:b/>
        </w:rPr>
        <w:t>nichttechnische Innovationen</w:t>
      </w:r>
      <w:r w:rsidRPr="006A4209">
        <w:t xml:space="preserve">, wie kreativwirtschaftliche Konzepte, neue Plattformformate oder zukunftsweisende Apps. Diese Ausrichtung adressiert auch </w:t>
      </w:r>
      <w:r w:rsidRPr="006A4209">
        <w:rPr>
          <w:b/>
        </w:rPr>
        <w:t>neue Zielgruppen</w:t>
      </w:r>
      <w:r w:rsidRPr="006A4209">
        <w:t xml:space="preserve"> und erfordert </w:t>
      </w:r>
      <w:r w:rsidRPr="006A4209">
        <w:rPr>
          <w:b/>
        </w:rPr>
        <w:t>neue administrative Verfahren</w:t>
      </w:r>
      <w:r w:rsidRPr="006A4209">
        <w:t xml:space="preserve">. Das IGP wurde entsprechend als „lernendes Programm“ konzipiert und als </w:t>
      </w:r>
      <w:r w:rsidRPr="006A4209">
        <w:rPr>
          <w:b/>
        </w:rPr>
        <w:t>Pilotförderung</w:t>
      </w:r>
      <w:r w:rsidRPr="006A4209">
        <w:t xml:space="preserve"> zunächst auf drei Ausschreibungsrunden </w:t>
      </w:r>
      <w:r w:rsidR="006568C1">
        <w:t xml:space="preserve">(AR) </w:t>
      </w:r>
      <w:r w:rsidRPr="006A4209">
        <w:t>befristet:</w:t>
      </w:r>
    </w:p>
    <w:p w:rsidR="009128C9" w:rsidRPr="006A4209" w:rsidRDefault="009128C9" w:rsidP="006A4209">
      <w:pPr>
        <w:pStyle w:val="P"/>
      </w:pPr>
    </w:p>
    <w:p w:rsidR="006A4209" w:rsidRPr="006A4209" w:rsidRDefault="006568C1" w:rsidP="006A4209">
      <w:pPr>
        <w:pStyle w:val="P"/>
        <w:numPr>
          <w:ilvl w:val="0"/>
          <w:numId w:val="45"/>
        </w:numPr>
      </w:pPr>
      <w:r>
        <w:t xml:space="preserve">AR 1 </w:t>
      </w:r>
      <w:r w:rsidR="006A4209" w:rsidRPr="006A4209">
        <w:t xml:space="preserve">zielte auf </w:t>
      </w:r>
      <w:r w:rsidR="006A4209" w:rsidRPr="006A4209">
        <w:rPr>
          <w:b/>
        </w:rPr>
        <w:t>digitale und datengetriebene Geschäftsmodelle und Pionierlösungen</w:t>
      </w:r>
      <w:r w:rsidR="006A4209" w:rsidRPr="006A4209">
        <w:t xml:space="preserve"> und lief </w:t>
      </w:r>
      <w:r>
        <w:t>von</w:t>
      </w:r>
      <w:r w:rsidR="006A4209" w:rsidRPr="006A4209">
        <w:t xml:space="preserve"> Ende 2019 bis Mitte 2020 (&gt; 750 eingereichte Projektideen),</w:t>
      </w:r>
    </w:p>
    <w:p w:rsidR="006A4209" w:rsidRPr="006A4209" w:rsidRDefault="006568C1" w:rsidP="006A4209">
      <w:pPr>
        <w:pStyle w:val="P"/>
        <w:numPr>
          <w:ilvl w:val="0"/>
          <w:numId w:val="45"/>
        </w:numPr>
      </w:pPr>
      <w:r>
        <w:t>AR 2</w:t>
      </w:r>
      <w:r w:rsidR="006A4209" w:rsidRPr="006A4209">
        <w:t xml:space="preserve"> zielte auf </w:t>
      </w:r>
      <w:r w:rsidR="006A4209" w:rsidRPr="006A4209">
        <w:rPr>
          <w:b/>
        </w:rPr>
        <w:t>kultur- und kreativwirtschaftliche Geschäftsmodelle und Pionierlösungen</w:t>
      </w:r>
      <w:r w:rsidR="006A4209" w:rsidRPr="006A4209">
        <w:t xml:space="preserve"> und lief von Mitte 2020 bis Anfang 2021 (ca. 400 eigenreichte Projektideen)</w:t>
      </w:r>
    </w:p>
    <w:p w:rsidR="006A4209" w:rsidRDefault="006568C1" w:rsidP="006A4209">
      <w:pPr>
        <w:pStyle w:val="P"/>
        <w:numPr>
          <w:ilvl w:val="0"/>
          <w:numId w:val="45"/>
        </w:numPr>
      </w:pPr>
      <w:r>
        <w:t>AR 3</w:t>
      </w:r>
      <w:r w:rsidR="006A4209" w:rsidRPr="006A4209">
        <w:t xml:space="preserve"> zielte auf </w:t>
      </w:r>
      <w:r w:rsidR="006A4209" w:rsidRPr="006A4209">
        <w:rPr>
          <w:b/>
        </w:rPr>
        <w:t>Innovationen für Bildung und Informationszugang mit hohem „sozialen Impact“</w:t>
      </w:r>
      <w:r w:rsidR="006A4209" w:rsidRPr="006A4209">
        <w:t xml:space="preserve"> und lief von Ende 2020 bis Mitte 2021 (&gt; 600 eigereichte Projektideen).</w:t>
      </w:r>
    </w:p>
    <w:p w:rsidR="009128C9" w:rsidRPr="006A4209" w:rsidRDefault="009128C9" w:rsidP="009128C9">
      <w:pPr>
        <w:pStyle w:val="P"/>
        <w:ind w:left="720"/>
      </w:pPr>
    </w:p>
    <w:p w:rsidR="006A4209" w:rsidRPr="006A4209" w:rsidRDefault="006A4209" w:rsidP="006A4209">
      <w:pPr>
        <w:pStyle w:val="P"/>
      </w:pPr>
      <w:r w:rsidRPr="006A4209">
        <w:t xml:space="preserve">Da die IGP-Zielgruppen oft hart von der Corona-Krise betroffen waren, wurde das </w:t>
      </w:r>
      <w:r w:rsidRPr="006A4209">
        <w:rPr>
          <w:b/>
        </w:rPr>
        <w:t>Budget</w:t>
      </w:r>
      <w:r w:rsidRPr="006A4209">
        <w:t xml:space="preserve"> des stark nachgefragten IGP in der Pilotphase von 25 </w:t>
      </w:r>
      <w:r w:rsidR="009128C9">
        <w:t xml:space="preserve">Millionen Euro </w:t>
      </w:r>
      <w:r w:rsidRPr="006A4209">
        <w:t xml:space="preserve">auf rund </w:t>
      </w:r>
      <w:r w:rsidRPr="006A4209">
        <w:rPr>
          <w:b/>
        </w:rPr>
        <w:t xml:space="preserve">35 </w:t>
      </w:r>
      <w:r w:rsidR="009128C9">
        <w:rPr>
          <w:b/>
        </w:rPr>
        <w:t xml:space="preserve">Millionen Euro </w:t>
      </w:r>
      <w:r w:rsidRPr="006A4209">
        <w:t xml:space="preserve">aufgestockt. Damit können insgesamt mehr als </w:t>
      </w:r>
      <w:r w:rsidRPr="006A4209">
        <w:rPr>
          <w:b/>
        </w:rPr>
        <w:t>260 Innovations-Projekte</w:t>
      </w:r>
      <w:r w:rsidRPr="006A4209">
        <w:t xml:space="preserve"> angeschoben werden. Die geförderten Projekte sind noch nicht abgeschlossen</w:t>
      </w:r>
      <w:r w:rsidR="009128C9">
        <w:t>. S</w:t>
      </w:r>
      <w:r w:rsidRPr="006A4209">
        <w:t>ie haben oft hohen Digitalisierungsbezug und adressieren ein heterogenes Themenspektrum</w:t>
      </w:r>
      <w:r w:rsidR="009128C9">
        <w:t xml:space="preserve"> – </w:t>
      </w:r>
      <w:r w:rsidR="009128C9">
        <w:rPr>
          <w:b/>
        </w:rPr>
        <w:t>ein</w:t>
      </w:r>
      <w:r w:rsidRPr="006A4209">
        <w:rPr>
          <w:b/>
        </w:rPr>
        <w:t>ige Beispiele:</w:t>
      </w:r>
    </w:p>
    <w:p w:rsidR="006A4209" w:rsidRPr="006A4209" w:rsidRDefault="006A4209" w:rsidP="006A4209">
      <w:pPr>
        <w:pStyle w:val="P"/>
        <w:numPr>
          <w:ilvl w:val="0"/>
          <w:numId w:val="45"/>
        </w:numPr>
      </w:pPr>
      <w:r w:rsidRPr="006A4209">
        <w:t xml:space="preserve">Die </w:t>
      </w:r>
      <w:hyperlink r:id="rId8" w:history="1">
        <w:proofErr w:type="spellStart"/>
        <w:r w:rsidRPr="006A4209">
          <w:rPr>
            <w:rStyle w:val="Hyperlink"/>
          </w:rPr>
          <w:t>Concular</w:t>
        </w:r>
        <w:proofErr w:type="spellEnd"/>
        <w:r w:rsidRPr="006A4209">
          <w:rPr>
            <w:rStyle w:val="Hyperlink"/>
          </w:rPr>
          <w:t xml:space="preserve"> UG</w:t>
        </w:r>
      </w:hyperlink>
      <w:r w:rsidRPr="006A4209">
        <w:t xml:space="preserve"> aus Stuttgart arbeitet an einem innovativen </w:t>
      </w:r>
      <w:r w:rsidRPr="006A4209">
        <w:rPr>
          <w:b/>
        </w:rPr>
        <w:t>System für die nachhaltige Nutzung von Baustoffen</w:t>
      </w:r>
      <w:r w:rsidRPr="006A4209">
        <w:t xml:space="preserve">. Dabei sollen Rückbau- und Neubaumaßnahmen </w:t>
      </w:r>
      <w:proofErr w:type="spellStart"/>
      <w:r w:rsidRPr="006A4209">
        <w:t>gematcht</w:t>
      </w:r>
      <w:proofErr w:type="spellEnd"/>
      <w:r w:rsidRPr="006A4209">
        <w:t xml:space="preserve"> werden, damit Teile wie Türen, Fenster oder Träger wiederverwertet werden können.</w:t>
      </w:r>
    </w:p>
    <w:p w:rsidR="006A4209" w:rsidRPr="006A4209" w:rsidRDefault="006A4209" w:rsidP="006A4209">
      <w:pPr>
        <w:pStyle w:val="P"/>
        <w:numPr>
          <w:ilvl w:val="0"/>
          <w:numId w:val="45"/>
        </w:numPr>
      </w:pPr>
      <w:r w:rsidRPr="006A4209">
        <w:t xml:space="preserve">Die </w:t>
      </w:r>
      <w:hyperlink r:id="rId9" w:history="1">
        <w:r w:rsidRPr="006A4209">
          <w:rPr>
            <w:rStyle w:val="Hyperlink"/>
          </w:rPr>
          <w:t>Vila Health UG</w:t>
        </w:r>
      </w:hyperlink>
      <w:r w:rsidRPr="006A4209">
        <w:t xml:space="preserve"> aus Berlin arbeitet an einem professionellem </w:t>
      </w:r>
      <w:r w:rsidRPr="006A4209">
        <w:rPr>
          <w:b/>
        </w:rPr>
        <w:t>App-gestützten Angebot</w:t>
      </w:r>
      <w:r w:rsidRPr="006A4209">
        <w:t xml:space="preserve"> </w:t>
      </w:r>
      <w:r w:rsidRPr="006A4209">
        <w:rPr>
          <w:b/>
        </w:rPr>
        <w:t>zur</w:t>
      </w:r>
      <w:r w:rsidRPr="006A4209">
        <w:t xml:space="preserve"> </w:t>
      </w:r>
      <w:r w:rsidRPr="006A4209">
        <w:rPr>
          <w:b/>
        </w:rPr>
        <w:t xml:space="preserve">psychologischen Unterstützung </w:t>
      </w:r>
      <w:r w:rsidRPr="006A4209">
        <w:t>und Begleitung</w:t>
      </w:r>
      <w:r w:rsidRPr="006A4209">
        <w:rPr>
          <w:b/>
        </w:rPr>
        <w:t xml:space="preserve"> von Menschen mit chronischen Erkrankungen</w:t>
      </w:r>
      <w:r w:rsidRPr="006A4209">
        <w:t>.</w:t>
      </w:r>
    </w:p>
    <w:p w:rsidR="006A4209" w:rsidRPr="006A4209" w:rsidRDefault="006A4209" w:rsidP="006A4209">
      <w:pPr>
        <w:pStyle w:val="P"/>
        <w:numPr>
          <w:ilvl w:val="0"/>
          <w:numId w:val="45"/>
        </w:numPr>
      </w:pPr>
      <w:r w:rsidRPr="006A4209">
        <w:lastRenderedPageBreak/>
        <w:t xml:space="preserve">Als unternehmerisches Spin-Off der Universität Bremen arbeitet </w:t>
      </w:r>
      <w:hyperlink r:id="rId10" w:history="1">
        <w:r w:rsidRPr="006A4209">
          <w:rPr>
            <w:rStyle w:val="Hyperlink"/>
          </w:rPr>
          <w:t>Fabular.AI</w:t>
        </w:r>
      </w:hyperlink>
      <w:r w:rsidRPr="006A4209">
        <w:t xml:space="preserve"> an der Umsetzung einer Plattform, die das </w:t>
      </w:r>
      <w:r w:rsidRPr="006A4209">
        <w:rPr>
          <w:b/>
        </w:rPr>
        <w:t>Kuratieren kultureller Ausstellungen durch Künstliche Intelligenz</w:t>
      </w:r>
      <w:r w:rsidRPr="006A4209">
        <w:t xml:space="preserve"> unterstützt.</w:t>
      </w:r>
    </w:p>
    <w:p w:rsidR="006A4209" w:rsidRPr="006A4209" w:rsidRDefault="006A4209" w:rsidP="006A4209">
      <w:pPr>
        <w:pStyle w:val="P"/>
        <w:numPr>
          <w:ilvl w:val="0"/>
          <w:numId w:val="45"/>
        </w:numPr>
      </w:pPr>
      <w:r w:rsidRPr="006A4209">
        <w:t xml:space="preserve">Die </w:t>
      </w:r>
      <w:proofErr w:type="spellStart"/>
      <w:r w:rsidRPr="006A4209">
        <w:t>Quatropus</w:t>
      </w:r>
      <w:proofErr w:type="spellEnd"/>
      <w:r w:rsidRPr="006A4209">
        <w:t xml:space="preserve"> GmbH &amp; Co. KG aus Dresden entwickelt mit </w:t>
      </w:r>
      <w:hyperlink r:id="rId11" w:history="1">
        <w:proofErr w:type="spellStart"/>
        <w:r w:rsidRPr="006A4209">
          <w:rPr>
            <w:rStyle w:val="Hyperlink"/>
          </w:rPr>
          <w:t>QuatroLingo</w:t>
        </w:r>
        <w:proofErr w:type="spellEnd"/>
      </w:hyperlink>
      <w:r w:rsidRPr="006A4209">
        <w:rPr>
          <w:u w:val="single"/>
        </w:rPr>
        <w:t xml:space="preserve"> </w:t>
      </w:r>
      <w:r w:rsidRPr="006A4209">
        <w:t xml:space="preserve">ein </w:t>
      </w:r>
      <w:r w:rsidRPr="006A4209">
        <w:rPr>
          <w:b/>
        </w:rPr>
        <w:t>digitales System</w:t>
      </w:r>
      <w:r w:rsidRPr="006A4209">
        <w:t xml:space="preserve">, das </w:t>
      </w:r>
      <w:r w:rsidRPr="006A4209">
        <w:rPr>
          <w:b/>
        </w:rPr>
        <w:t>Sprachdienstleistungen</w:t>
      </w:r>
      <w:r w:rsidRPr="006A4209">
        <w:t xml:space="preserve"> wie Übersetzungen direkt zwischen Auftraggebern und Dienstleistern </w:t>
      </w:r>
      <w:r w:rsidRPr="006A4209">
        <w:rPr>
          <w:b/>
        </w:rPr>
        <w:t>vermittelt</w:t>
      </w:r>
      <w:r w:rsidRPr="006A4209">
        <w:t>.</w:t>
      </w:r>
    </w:p>
    <w:p w:rsidR="006A4209" w:rsidRPr="006A4209" w:rsidRDefault="006A4209" w:rsidP="006A4209">
      <w:pPr>
        <w:pStyle w:val="P"/>
        <w:numPr>
          <w:ilvl w:val="0"/>
          <w:numId w:val="45"/>
        </w:numPr>
      </w:pPr>
      <w:r w:rsidRPr="006A4209">
        <w:t xml:space="preserve">Die Orgelpunkt.com aus Ochsenfurt untersucht die praktische </w:t>
      </w:r>
      <w:r w:rsidRPr="006A4209">
        <w:rPr>
          <w:b/>
        </w:rPr>
        <w:t>Machbarkeit von</w:t>
      </w:r>
      <w:r w:rsidRPr="006A4209">
        <w:t xml:space="preserve"> </w:t>
      </w:r>
      <w:hyperlink r:id="rId12" w:history="1">
        <w:r w:rsidRPr="009128C9">
          <w:rPr>
            <w:rStyle w:val="Hyperlink"/>
          </w:rPr>
          <w:t>3D-Modellen im Orgelbau</w:t>
        </w:r>
      </w:hyperlink>
      <w:r w:rsidRPr="006A4209">
        <w:t xml:space="preserve"> – einem Feld das u.a. für Architekten und Handwerker viel Potenzial birgt, zukünftig u.a. bei Planungs- und Abstimmungsprozessen große Effizienzgewinne zu erreichen.</w:t>
      </w:r>
    </w:p>
    <w:p w:rsidR="006A4209" w:rsidRPr="006A4209" w:rsidRDefault="009128C9" w:rsidP="006A4209">
      <w:pPr>
        <w:pStyle w:val="H3"/>
      </w:pPr>
      <w:r>
        <w:t>Die</w:t>
      </w:r>
      <w:r w:rsidR="006A4209" w:rsidRPr="006A4209">
        <w:t xml:space="preserve"> Evaluation</w:t>
      </w:r>
      <w:r>
        <w:t xml:space="preserve"> des </w:t>
      </w:r>
      <w:proofErr w:type="spellStart"/>
      <w:r>
        <w:t>Programms</w:t>
      </w:r>
      <w:proofErr w:type="spellEnd"/>
      <w:r w:rsidR="006A4209" w:rsidRPr="006A4209">
        <w:t>:</w:t>
      </w:r>
    </w:p>
    <w:p w:rsidR="006A4209" w:rsidRDefault="006A4209" w:rsidP="006A4209">
      <w:pPr>
        <w:pStyle w:val="P"/>
      </w:pPr>
      <w:r w:rsidRPr="006A4209">
        <w:t xml:space="preserve">Der Ansatz des „lernenden“ Pilotprogramms IGP, das auch administrativ Neuland betritt, wird durch eine </w:t>
      </w:r>
      <w:r w:rsidRPr="006A4209">
        <w:rPr>
          <w:b/>
        </w:rPr>
        <w:t xml:space="preserve">enge </w:t>
      </w:r>
      <w:proofErr w:type="spellStart"/>
      <w:r w:rsidRPr="006A4209">
        <w:rPr>
          <w:b/>
        </w:rPr>
        <w:t>evaluatorische</w:t>
      </w:r>
      <w:proofErr w:type="spellEnd"/>
      <w:r w:rsidRPr="006A4209">
        <w:rPr>
          <w:b/>
        </w:rPr>
        <w:t xml:space="preserve"> Begleitung</w:t>
      </w:r>
      <w:r w:rsidRPr="006A4209">
        <w:t xml:space="preserve"> unterstützt. Die Evaluation stützt sich u.a. auf Daten- und Dokumentenanalysen, Interviews und </w:t>
      </w:r>
      <w:proofErr w:type="spellStart"/>
      <w:r w:rsidRPr="006A4209">
        <w:t>Workshopformate</w:t>
      </w:r>
      <w:proofErr w:type="spellEnd"/>
      <w:r w:rsidRPr="006A4209">
        <w:t xml:space="preserve">. Da sie noch während der Laufzeit der AR 3 begann, fokussierte die aktuelle (erste) Online-Befragung von Fördernehmern auf AR 1 und AR 2. Der nun vorliegende </w:t>
      </w:r>
      <w:r w:rsidRPr="006A4209">
        <w:rPr>
          <w:b/>
        </w:rPr>
        <w:t>Zwischenbericht</w:t>
      </w:r>
      <w:r w:rsidRPr="006A4209">
        <w:t xml:space="preserve"> kommt u.a. zu folgenden </w:t>
      </w:r>
      <w:r w:rsidRPr="006A4209">
        <w:rPr>
          <w:b/>
        </w:rPr>
        <w:t>Erkenntnissen</w:t>
      </w:r>
      <w:r w:rsidRPr="006A4209">
        <w:t>:</w:t>
      </w:r>
    </w:p>
    <w:p w:rsidR="006568C1" w:rsidRPr="006A4209" w:rsidRDefault="006568C1" w:rsidP="006A4209">
      <w:pPr>
        <w:pStyle w:val="P"/>
      </w:pPr>
    </w:p>
    <w:p w:rsidR="006A4209" w:rsidRPr="006A4209" w:rsidRDefault="006A4209" w:rsidP="006A4209">
      <w:pPr>
        <w:pStyle w:val="P"/>
        <w:numPr>
          <w:ilvl w:val="0"/>
          <w:numId w:val="46"/>
        </w:numPr>
      </w:pPr>
      <w:r w:rsidRPr="006A4209">
        <w:t xml:space="preserve">Mit insgesamt deutlich über 1.700 eingereichten Projektideen war die </w:t>
      </w:r>
      <w:r w:rsidRPr="006A4209">
        <w:rPr>
          <w:b/>
        </w:rPr>
        <w:t>Nachfrage zum IGP hoch</w:t>
      </w:r>
      <w:r w:rsidRPr="006A4209">
        <w:t xml:space="preserve">. Dabei wurden </w:t>
      </w:r>
      <w:r w:rsidRPr="006A4209">
        <w:rPr>
          <w:b/>
        </w:rPr>
        <w:t>v.a. kleine, junge Unternehmen</w:t>
      </w:r>
      <w:r w:rsidRPr="006A4209">
        <w:t xml:space="preserve"> erreicht (über 75% der Antragsteller mit weniger als 10 Beschäftigten), vielfach aus </w:t>
      </w:r>
      <w:r w:rsidRPr="006A4209">
        <w:rPr>
          <w:b/>
        </w:rPr>
        <w:t>modernen Dienstleistungsbereichen</w:t>
      </w:r>
      <w:r w:rsidRPr="006A4209">
        <w:t xml:space="preserve"> wie der IKT-Branche, der Kreativwirtschaft oder der digitalen Bildung.</w:t>
      </w:r>
    </w:p>
    <w:p w:rsidR="006A4209" w:rsidRPr="006A4209" w:rsidRDefault="006A4209" w:rsidP="006A4209">
      <w:pPr>
        <w:pStyle w:val="P"/>
        <w:numPr>
          <w:ilvl w:val="0"/>
          <w:numId w:val="46"/>
        </w:numPr>
      </w:pPr>
      <w:r w:rsidRPr="006A4209">
        <w:t xml:space="preserve">Das IGP adressiert mit der Unterstützung nichttechnischer Innovationen </w:t>
      </w:r>
      <w:r w:rsidRPr="006A4209">
        <w:rPr>
          <w:bCs/>
        </w:rPr>
        <w:t xml:space="preserve">zielführend </w:t>
      </w:r>
      <w:r w:rsidRPr="006A4209">
        <w:t xml:space="preserve">eine </w:t>
      </w:r>
      <w:r w:rsidRPr="006A4209">
        <w:rPr>
          <w:bCs/>
        </w:rPr>
        <w:t xml:space="preserve">relevante </w:t>
      </w:r>
      <w:r w:rsidRPr="006A4209">
        <w:rPr>
          <w:b/>
          <w:bCs/>
        </w:rPr>
        <w:t xml:space="preserve">Förderlücke </w:t>
      </w:r>
      <w:r w:rsidRPr="006A4209">
        <w:rPr>
          <w:b/>
        </w:rPr>
        <w:t>im deutschen Innovationssystem</w:t>
      </w:r>
      <w:r w:rsidRPr="006A4209">
        <w:t>. Nur vereinzelt gibt es auf Bundes- und Landesebene vergleichbare Programme, die gleichwohl anders fokussieren.</w:t>
      </w:r>
    </w:p>
    <w:p w:rsidR="006A4209" w:rsidRPr="006A4209" w:rsidRDefault="006A4209" w:rsidP="006A4209">
      <w:pPr>
        <w:pStyle w:val="P"/>
        <w:numPr>
          <w:ilvl w:val="0"/>
          <w:numId w:val="46"/>
        </w:numPr>
      </w:pPr>
      <w:r w:rsidRPr="006A4209">
        <w:t xml:space="preserve">Auch die </w:t>
      </w:r>
      <w:r w:rsidRPr="006A4209">
        <w:rPr>
          <w:b/>
        </w:rPr>
        <w:t>neuen administrativen Verfahren</w:t>
      </w:r>
      <w:r w:rsidRPr="006A4209">
        <w:t xml:space="preserve">, wie </w:t>
      </w:r>
      <w:r w:rsidR="006568C1">
        <w:t xml:space="preserve">die Einbeziehung </w:t>
      </w:r>
      <w:r w:rsidRPr="006A4209">
        <w:t xml:space="preserve">einer heterogen zusammengesetzten </w:t>
      </w:r>
      <w:r w:rsidRPr="006A4209">
        <w:rPr>
          <w:b/>
        </w:rPr>
        <w:t>Jury</w:t>
      </w:r>
      <w:r w:rsidRPr="006A4209">
        <w:t xml:space="preserve"> sowie </w:t>
      </w:r>
      <w:r w:rsidRPr="006A4209">
        <w:rPr>
          <w:b/>
        </w:rPr>
        <w:t>Pitches</w:t>
      </w:r>
      <w:r w:rsidRPr="006A4209">
        <w:t xml:space="preserve"> in die Projektbewertung, werden </w:t>
      </w:r>
      <w:r w:rsidRPr="006A4209">
        <w:rPr>
          <w:b/>
        </w:rPr>
        <w:t>positiv beurteilt</w:t>
      </w:r>
      <w:r w:rsidRPr="006A4209">
        <w:t>.</w:t>
      </w:r>
    </w:p>
    <w:p w:rsidR="006A4209" w:rsidRPr="006A4209" w:rsidRDefault="006A4209" w:rsidP="006A4209">
      <w:pPr>
        <w:pStyle w:val="P"/>
        <w:numPr>
          <w:ilvl w:val="0"/>
          <w:numId w:val="46"/>
        </w:numPr>
      </w:pPr>
      <w:r w:rsidRPr="006A4209">
        <w:t xml:space="preserve">Zu den </w:t>
      </w:r>
      <w:r w:rsidRPr="006A4209">
        <w:rPr>
          <w:b/>
        </w:rPr>
        <w:t>Projektwirkungen</w:t>
      </w:r>
      <w:r w:rsidRPr="006A4209">
        <w:t xml:space="preserve"> sind zum aktuellen frühen Zeitpunkt nur erste </w:t>
      </w:r>
      <w:r w:rsidRPr="006A4209">
        <w:rPr>
          <w:b/>
        </w:rPr>
        <w:t>Prognosen</w:t>
      </w:r>
      <w:r w:rsidRPr="006A4209">
        <w:t xml:space="preserve"> möglich, diese fallen gleichwohl </w:t>
      </w:r>
      <w:r w:rsidRPr="006A4209">
        <w:rPr>
          <w:b/>
        </w:rPr>
        <w:t>sehr positiv</w:t>
      </w:r>
      <w:r w:rsidRPr="006A4209">
        <w:t xml:space="preserve"> aus:</w:t>
      </w:r>
    </w:p>
    <w:p w:rsidR="006A4209" w:rsidRPr="006A4209" w:rsidRDefault="006A4209" w:rsidP="006A4209">
      <w:pPr>
        <w:pStyle w:val="P"/>
        <w:numPr>
          <w:ilvl w:val="1"/>
          <w:numId w:val="46"/>
        </w:numPr>
      </w:pPr>
      <w:r w:rsidRPr="006A4209">
        <w:t xml:space="preserve">Bei den Geförderten werden durch das IGP relevante Innovationshemmnisse adressiert, sie erwarten mit großer Mehrheit u.a. </w:t>
      </w:r>
      <w:r w:rsidRPr="006A4209">
        <w:rPr>
          <w:b/>
        </w:rPr>
        <w:t xml:space="preserve">nachhaltige </w:t>
      </w:r>
      <w:proofErr w:type="spellStart"/>
      <w:r w:rsidRPr="006A4209">
        <w:rPr>
          <w:b/>
        </w:rPr>
        <w:t>Know-How</w:t>
      </w:r>
      <w:proofErr w:type="spellEnd"/>
      <w:r w:rsidRPr="006A4209">
        <w:rPr>
          <w:b/>
        </w:rPr>
        <w:t>-Gewinne</w:t>
      </w:r>
      <w:r w:rsidRPr="006A4209">
        <w:t xml:space="preserve">, die </w:t>
      </w:r>
      <w:r w:rsidRPr="006A4209">
        <w:rPr>
          <w:b/>
        </w:rPr>
        <w:t>Schaffung von Jobs</w:t>
      </w:r>
      <w:r w:rsidRPr="006A4209">
        <w:t xml:space="preserve"> und die </w:t>
      </w:r>
      <w:r w:rsidRPr="006A4209">
        <w:rPr>
          <w:b/>
        </w:rPr>
        <w:t>Realisierung von Umsatzpotenzialen</w:t>
      </w:r>
      <w:r w:rsidRPr="006A4209">
        <w:t>.</w:t>
      </w:r>
    </w:p>
    <w:p w:rsidR="006A4209" w:rsidRPr="006A4209" w:rsidRDefault="006A4209" w:rsidP="006A4209">
      <w:pPr>
        <w:pStyle w:val="P"/>
        <w:numPr>
          <w:ilvl w:val="1"/>
          <w:numId w:val="46"/>
        </w:numPr>
      </w:pPr>
      <w:r w:rsidRPr="006A4209">
        <w:t xml:space="preserve">Zudem werden auch </w:t>
      </w:r>
      <w:r w:rsidRPr="006A4209">
        <w:rPr>
          <w:b/>
        </w:rPr>
        <w:t>über die Geförderten hinaus positive Effekte</w:t>
      </w:r>
      <w:r w:rsidRPr="006A4209">
        <w:t xml:space="preserve"> („</w:t>
      </w:r>
      <w:proofErr w:type="spellStart"/>
      <w:r w:rsidRPr="006A4209">
        <w:t>Spillovers</w:t>
      </w:r>
      <w:proofErr w:type="spellEnd"/>
      <w:r w:rsidRPr="006A4209">
        <w:t>“) erwartet, u.a. Modernisierungsimpulse für ganze Marktsegmente und positive wirtschaftliche Effekte für Zulieferer, Kunden und Partner.</w:t>
      </w:r>
    </w:p>
    <w:p w:rsidR="006A4209" w:rsidRDefault="006A4209" w:rsidP="006A4209">
      <w:pPr>
        <w:pStyle w:val="P"/>
        <w:numPr>
          <w:ilvl w:val="0"/>
          <w:numId w:val="46"/>
        </w:numPr>
      </w:pPr>
      <w:r w:rsidRPr="006A4209">
        <w:t xml:space="preserve">Der Zwischenbericht der Evaluation zieht deshalb ein </w:t>
      </w:r>
      <w:r w:rsidRPr="006A4209">
        <w:rPr>
          <w:b/>
        </w:rPr>
        <w:t>positives Fazit zum IGP</w:t>
      </w:r>
      <w:r w:rsidRPr="006A4209">
        <w:t xml:space="preserve"> und empfiehlt bereits jetzt eine </w:t>
      </w:r>
      <w:r w:rsidRPr="006A4209">
        <w:rPr>
          <w:b/>
        </w:rPr>
        <w:t>Verstetigung des Programms</w:t>
      </w:r>
      <w:r w:rsidRPr="006A4209">
        <w:t>. Verbesserungspotenziale werden in Detailbereichen wie dem Zuschnitt von Projektformen und Elementen der administrativen Umsetzung gesehen, wofür die im als „lernendendes Programm“ bereits umgesetzten Verbesserungen eine gute Basis seien.</w:t>
      </w:r>
    </w:p>
    <w:p w:rsidR="006A4209" w:rsidRPr="006A4209" w:rsidRDefault="006A4209" w:rsidP="006568C1">
      <w:pPr>
        <w:pStyle w:val="H3"/>
      </w:pPr>
      <w:bookmarkStart w:id="0" w:name="_GoBack"/>
      <w:bookmarkEnd w:id="0"/>
      <w:proofErr w:type="spellStart"/>
      <w:r w:rsidRPr="006A4209">
        <w:t>Einbettung</w:t>
      </w:r>
      <w:proofErr w:type="spellEnd"/>
      <w:r w:rsidRPr="006A4209">
        <w:t xml:space="preserve"> des IGP in </w:t>
      </w:r>
      <w:proofErr w:type="spellStart"/>
      <w:r w:rsidRPr="006A4209">
        <w:t>übergeordnete</w:t>
      </w:r>
      <w:proofErr w:type="spellEnd"/>
      <w:r w:rsidRPr="006A4209">
        <w:t xml:space="preserve"> </w:t>
      </w:r>
      <w:proofErr w:type="spellStart"/>
      <w:r w:rsidRPr="006A4209">
        <w:t>Initiativen</w:t>
      </w:r>
      <w:proofErr w:type="spellEnd"/>
      <w:r w:rsidRPr="006A4209">
        <w:t>:</w:t>
      </w:r>
    </w:p>
    <w:p w:rsidR="006A4209" w:rsidRPr="006568C1" w:rsidRDefault="006A4209" w:rsidP="006A4209">
      <w:pPr>
        <w:pStyle w:val="P"/>
      </w:pPr>
      <w:r w:rsidRPr="006A4209">
        <w:t xml:space="preserve">Das IGP ist </w:t>
      </w:r>
      <w:r w:rsidRPr="006568C1">
        <w:t xml:space="preserve">Teil der </w:t>
      </w:r>
      <w:hyperlink r:id="rId13" w:history="1">
        <w:r w:rsidRPr="006568C1">
          <w:rPr>
            <w:rStyle w:val="Hyperlink"/>
          </w:rPr>
          <w:t>Transferinitiative</w:t>
        </w:r>
      </w:hyperlink>
      <w:r w:rsidRPr="006568C1">
        <w:t xml:space="preserve"> des </w:t>
      </w:r>
      <w:proofErr w:type="spellStart"/>
      <w:r w:rsidRPr="006568C1">
        <w:t>BMWi</w:t>
      </w:r>
      <w:proofErr w:type="spellEnd"/>
      <w:r w:rsidRPr="006568C1">
        <w:t xml:space="preserve">, die das Ziel verfolgt, besondere Herausforderungen für Innovatoren zu benennen und zu beseitigen. Es ist eingebunden in das </w:t>
      </w:r>
      <w:proofErr w:type="spellStart"/>
      <w:r w:rsidRPr="006568C1">
        <w:t>BMWi</w:t>
      </w:r>
      <w:proofErr w:type="spellEnd"/>
      <w:r w:rsidRPr="006568C1">
        <w:t>-Förderkonzept „</w:t>
      </w:r>
      <w:hyperlink r:id="rId14" w:history="1">
        <w:r w:rsidRPr="006568C1">
          <w:rPr>
            <w:rStyle w:val="Hyperlink"/>
          </w:rPr>
          <w:t>Von der Idee zum Markterfolg</w:t>
        </w:r>
      </w:hyperlink>
      <w:r w:rsidRPr="006568C1">
        <w:t xml:space="preserve">“, das insbesondere kleine und mittlere </w:t>
      </w:r>
      <w:r w:rsidRPr="006568C1">
        <w:lastRenderedPageBreak/>
        <w:t xml:space="preserve">Unternehmen (inkl. Startups) adressiert. Zudem fand es Eingang in ressortübergreifende Initiativen, wie das kürzlich veröffentlichte </w:t>
      </w:r>
      <w:hyperlink r:id="rId15" w:history="1">
        <w:r w:rsidRPr="006568C1">
          <w:rPr>
            <w:rStyle w:val="Hyperlink"/>
          </w:rPr>
          <w:t>Ressortkonzept für Soziale Innovation</w:t>
        </w:r>
      </w:hyperlink>
      <w:r w:rsidRPr="006568C1">
        <w:t>.</w:t>
      </w:r>
    </w:p>
    <w:p w:rsidR="006A4209" w:rsidRPr="006A4209" w:rsidRDefault="006568C1" w:rsidP="006A4209">
      <w:pPr>
        <w:pStyle w:val="H3"/>
      </w:pPr>
      <w:proofErr w:type="spellStart"/>
      <w:r>
        <w:t>W</w:t>
      </w:r>
      <w:r w:rsidR="006A4209" w:rsidRPr="006A4209">
        <w:t>eitere</w:t>
      </w:r>
      <w:r>
        <w:t>s</w:t>
      </w:r>
      <w:proofErr w:type="spellEnd"/>
      <w:r w:rsidR="006A4209" w:rsidRPr="006A4209">
        <w:t xml:space="preserve"> </w:t>
      </w:r>
      <w:proofErr w:type="spellStart"/>
      <w:r w:rsidR="006A4209" w:rsidRPr="006A4209">
        <w:t>Vorgehen</w:t>
      </w:r>
      <w:proofErr w:type="spellEnd"/>
      <w:r w:rsidR="006A4209" w:rsidRPr="006A4209">
        <w:t>:</w:t>
      </w:r>
    </w:p>
    <w:p w:rsidR="006A4209" w:rsidRPr="006A4209" w:rsidRDefault="006A4209" w:rsidP="006A4209">
      <w:pPr>
        <w:pStyle w:val="P"/>
      </w:pPr>
      <w:r w:rsidRPr="006A4209">
        <w:t xml:space="preserve">Die begleitende </w:t>
      </w:r>
      <w:r w:rsidRPr="006A4209">
        <w:rPr>
          <w:b/>
        </w:rPr>
        <w:t>Evaluation</w:t>
      </w:r>
      <w:r w:rsidRPr="006A4209">
        <w:t xml:space="preserve"> des IGP wird voraussichtlich </w:t>
      </w:r>
      <w:r w:rsidRPr="006A4209">
        <w:rPr>
          <w:b/>
        </w:rPr>
        <w:t>Anfang 2022 abgeschlossen</w:t>
      </w:r>
      <w:r w:rsidRPr="006A4209">
        <w:t xml:space="preserve">. Sie wird u.a. auf Basis weiterer Befragungen zusätzliche Erkenntnisse ermitteln. Die </w:t>
      </w:r>
      <w:r w:rsidRPr="006A4209">
        <w:rPr>
          <w:b/>
        </w:rPr>
        <w:t>Entscheidung zur möglichen Fortführung</w:t>
      </w:r>
      <w:r w:rsidRPr="006A4209">
        <w:t xml:space="preserve"> des IGP in der nächsten Legislaturperiode liegt bei der </w:t>
      </w:r>
      <w:r w:rsidRPr="006A4209">
        <w:rPr>
          <w:b/>
        </w:rPr>
        <w:t>kommenden Bundesregierung</w:t>
      </w:r>
      <w:r w:rsidRPr="006A4209">
        <w:t>.</w:t>
      </w:r>
    </w:p>
    <w:p w:rsidR="006A4209" w:rsidRPr="006A4209" w:rsidRDefault="006A4209" w:rsidP="006A4209">
      <w:pPr>
        <w:pStyle w:val="P"/>
      </w:pPr>
    </w:p>
    <w:p w:rsidR="00752A5B" w:rsidRPr="00736F8D" w:rsidRDefault="006A4209" w:rsidP="006568C1">
      <w:pPr>
        <w:pStyle w:val="P"/>
        <w:rPr>
          <w:lang w:val="en-US"/>
        </w:rPr>
      </w:pPr>
      <w:r w:rsidRPr="006A4209">
        <w:t xml:space="preserve">Für weitere Informationen: </w:t>
      </w:r>
      <w:hyperlink r:id="rId16" w:history="1">
        <w:r w:rsidRPr="006A4209">
          <w:rPr>
            <w:rStyle w:val="Hyperlink"/>
          </w:rPr>
          <w:t>www.bmwi.de/igp</w:t>
        </w:r>
      </w:hyperlink>
    </w:p>
    <w:sectPr w:rsidR="00752A5B" w:rsidRPr="00736F8D" w:rsidSect="00DE466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134" w:right="1418" w:bottom="1134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4F5" w:rsidRDefault="002C24F5" w:rsidP="00F21EBC">
      <w:r>
        <w:separator/>
      </w:r>
    </w:p>
  </w:endnote>
  <w:endnote w:type="continuationSeparator" w:id="0">
    <w:p w:rsidR="002C24F5" w:rsidRDefault="002C24F5" w:rsidP="00F2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84" w:rsidRDefault="00E26284" w:rsidP="0093454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26284" w:rsidRDefault="00E262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04A" w:rsidRPr="0093454F" w:rsidRDefault="00AE204A" w:rsidP="00DE4660">
    <w:pPr>
      <w:pStyle w:val="Fuzeile"/>
      <w:framePr w:w="11907" w:h="567" w:wrap="around" w:vAnchor="page" w:hAnchor="page" w:x="18" w:y="15979" w:anchorLock="1"/>
      <w:jc w:val="center"/>
      <w:rPr>
        <w:b/>
        <w:sz w:val="16"/>
        <w:szCs w:val="16"/>
      </w:rPr>
    </w:pPr>
    <w:r w:rsidRPr="00E0002D">
      <w:rPr>
        <w:rStyle w:val="Seitenzahl"/>
        <w:b/>
        <w:sz w:val="16"/>
        <w:szCs w:val="16"/>
      </w:rPr>
      <w:fldChar w:fldCharType="begin"/>
    </w:r>
    <w:r>
      <w:rPr>
        <w:rStyle w:val="Seitenzahl"/>
        <w:b/>
        <w:sz w:val="16"/>
        <w:szCs w:val="16"/>
      </w:rPr>
      <w:instrText>PAGE</w:instrText>
    </w:r>
    <w:r w:rsidRPr="00E0002D">
      <w:rPr>
        <w:rStyle w:val="Seitenzahl"/>
        <w:b/>
        <w:sz w:val="16"/>
        <w:szCs w:val="16"/>
      </w:rPr>
      <w:instrText xml:space="preserve">  </w:instrText>
    </w:r>
    <w:r w:rsidRPr="00E0002D">
      <w:rPr>
        <w:rStyle w:val="Seitenzahl"/>
        <w:b/>
        <w:sz w:val="16"/>
        <w:szCs w:val="16"/>
      </w:rPr>
      <w:fldChar w:fldCharType="separate"/>
    </w:r>
    <w:r>
      <w:rPr>
        <w:rStyle w:val="Seitenzahl"/>
        <w:b/>
        <w:sz w:val="16"/>
        <w:szCs w:val="16"/>
      </w:rPr>
      <w:t>1</w:t>
    </w:r>
    <w:r w:rsidRPr="00E0002D">
      <w:rPr>
        <w:rStyle w:val="Seitenzahl"/>
        <w:b/>
        <w:sz w:val="16"/>
        <w:szCs w:val="16"/>
      </w:rPr>
      <w:fldChar w:fldCharType="end"/>
    </w:r>
  </w:p>
  <w:p w:rsidR="00E26284" w:rsidRPr="00892A2D" w:rsidRDefault="00E26284" w:rsidP="00892A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84" w:rsidRDefault="00E26284" w:rsidP="0093454F">
    <w:pPr>
      <w:pStyle w:val="Fuzeile"/>
      <w:tabs>
        <w:tab w:val="clear" w:pos="4536"/>
        <w:tab w:val="clear" w:pos="9072"/>
        <w:tab w:val="left" w:pos="1416"/>
        <w:tab w:val="center" w:pos="4535"/>
      </w:tabs>
    </w:pPr>
    <w:r>
      <w:tab/>
    </w:r>
    <w:r>
      <w:tab/>
    </w:r>
  </w:p>
  <w:p w:rsidR="00E26284" w:rsidRPr="0093454F" w:rsidRDefault="00E26284" w:rsidP="0093454F">
    <w:pPr>
      <w:pStyle w:val="Fuzeile"/>
      <w:jc w:val="center"/>
      <w:rPr>
        <w:b/>
        <w:sz w:val="16"/>
        <w:szCs w:val="16"/>
      </w:rPr>
    </w:pPr>
    <w:r w:rsidRPr="00E0002D">
      <w:rPr>
        <w:rStyle w:val="Seitenzahl"/>
        <w:b/>
        <w:sz w:val="16"/>
        <w:szCs w:val="16"/>
      </w:rPr>
      <w:fldChar w:fldCharType="begin"/>
    </w:r>
    <w:r>
      <w:rPr>
        <w:rStyle w:val="Seitenzahl"/>
        <w:b/>
        <w:sz w:val="16"/>
        <w:szCs w:val="16"/>
      </w:rPr>
      <w:instrText>PAGE</w:instrText>
    </w:r>
    <w:r w:rsidRPr="00E0002D">
      <w:rPr>
        <w:rStyle w:val="Seitenzahl"/>
        <w:b/>
        <w:sz w:val="16"/>
        <w:szCs w:val="16"/>
      </w:rPr>
      <w:instrText xml:space="preserve">  </w:instrText>
    </w:r>
    <w:r w:rsidRPr="00E0002D">
      <w:rPr>
        <w:rStyle w:val="Seitenzahl"/>
        <w:b/>
        <w:sz w:val="16"/>
        <w:szCs w:val="16"/>
      </w:rPr>
      <w:fldChar w:fldCharType="separate"/>
    </w:r>
    <w:r>
      <w:rPr>
        <w:rStyle w:val="Seitenzahl"/>
        <w:b/>
        <w:noProof/>
        <w:sz w:val="16"/>
        <w:szCs w:val="16"/>
      </w:rPr>
      <w:t>2</w:t>
    </w:r>
    <w:r w:rsidRPr="00E0002D">
      <w:rPr>
        <w:rStyle w:val="Seitenzah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4F5" w:rsidRDefault="002C24F5" w:rsidP="00F21EBC">
      <w:r>
        <w:separator/>
      </w:r>
    </w:p>
  </w:footnote>
  <w:footnote w:type="continuationSeparator" w:id="0">
    <w:p w:rsidR="002C24F5" w:rsidRDefault="002C24F5" w:rsidP="00F2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5B" w:rsidRDefault="00752A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84" w:rsidRPr="00A31B2C" w:rsidRDefault="00736F8D" w:rsidP="00A31B2C">
    <w:pPr>
      <w:pStyle w:val="Kopfzeile"/>
      <w:ind w:left="-1418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0000" cy="10688400"/>
          <wp:effectExtent l="0" t="0" r="0" b="508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BMWi-Minimal_Master_Word_D+E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84" w:rsidRDefault="00752A5B" w:rsidP="00752A5B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0000" cy="10688400"/>
          <wp:effectExtent l="0" t="0" r="0" b="508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MWi-Minimal_Master_Word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48A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547D7"/>
    <w:multiLevelType w:val="hybridMultilevel"/>
    <w:tmpl w:val="86062D7A"/>
    <w:lvl w:ilvl="0" w:tplc="6AD2529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CE0133A"/>
    <w:multiLevelType w:val="multilevel"/>
    <w:tmpl w:val="9A786B3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004F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6E7A"/>
    <w:multiLevelType w:val="multilevel"/>
    <w:tmpl w:val="4B6AA00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283"/>
      </w:pPr>
      <w:rPr>
        <w:rFonts w:ascii="Symbol" w:hAnsi="Symbol" w:hint="default"/>
        <w:color w:val="004F80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31C5F06"/>
    <w:multiLevelType w:val="multilevel"/>
    <w:tmpl w:val="36665D1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40FF"/>
    <w:multiLevelType w:val="hybridMultilevel"/>
    <w:tmpl w:val="9476DCB6"/>
    <w:lvl w:ilvl="0" w:tplc="860270D6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4696"/>
    <w:multiLevelType w:val="multilevel"/>
    <w:tmpl w:val="40F8C942"/>
    <w:lvl w:ilvl="0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1E73"/>
    <w:multiLevelType w:val="multilevel"/>
    <w:tmpl w:val="303CE29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341EB"/>
    <w:multiLevelType w:val="hybridMultilevel"/>
    <w:tmpl w:val="1BC6D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93823"/>
    <w:multiLevelType w:val="hybridMultilevel"/>
    <w:tmpl w:val="C0609630"/>
    <w:lvl w:ilvl="0" w:tplc="1A28F8B0">
      <w:start w:val="1"/>
      <w:numFmt w:val="bullet"/>
      <w:lvlText w:val=""/>
      <w:lvlJc w:val="left"/>
      <w:pPr>
        <w:tabs>
          <w:tab w:val="num" w:pos="786"/>
        </w:tabs>
        <w:ind w:left="786" w:firstLine="0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F34A9"/>
    <w:multiLevelType w:val="hybridMultilevel"/>
    <w:tmpl w:val="EA72DC64"/>
    <w:lvl w:ilvl="0" w:tplc="53706B02">
      <w:start w:val="1"/>
      <w:numFmt w:val="bullet"/>
      <w:lvlText w:val=""/>
      <w:lvlJc w:val="left"/>
      <w:pPr>
        <w:tabs>
          <w:tab w:val="num" w:pos="1353"/>
        </w:tabs>
        <w:ind w:left="1353" w:hanging="283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B994803"/>
    <w:multiLevelType w:val="hybridMultilevel"/>
    <w:tmpl w:val="C19E5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C6379"/>
    <w:multiLevelType w:val="hybridMultilevel"/>
    <w:tmpl w:val="DE04EAB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B90F3C"/>
    <w:multiLevelType w:val="hybridMultilevel"/>
    <w:tmpl w:val="4D726038"/>
    <w:lvl w:ilvl="0" w:tplc="15DC0EF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BD66BE"/>
    <w:multiLevelType w:val="hybridMultilevel"/>
    <w:tmpl w:val="C1AA22CA"/>
    <w:lvl w:ilvl="0" w:tplc="8A6E2D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5455B"/>
    <w:multiLevelType w:val="hybridMultilevel"/>
    <w:tmpl w:val="F560E53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196788"/>
    <w:multiLevelType w:val="hybridMultilevel"/>
    <w:tmpl w:val="303CE29C"/>
    <w:lvl w:ilvl="0" w:tplc="F7F073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47FB3"/>
    <w:multiLevelType w:val="hybridMultilevel"/>
    <w:tmpl w:val="9C3AEC18"/>
    <w:lvl w:ilvl="0" w:tplc="08F2A976">
      <w:start w:val="1"/>
      <w:numFmt w:val="bullet"/>
      <w:lvlText w:val=""/>
      <w:lvlJc w:val="left"/>
      <w:pPr>
        <w:tabs>
          <w:tab w:val="num" w:pos="1353"/>
        </w:tabs>
        <w:ind w:left="1353" w:hanging="283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8305159"/>
    <w:multiLevelType w:val="hybridMultilevel"/>
    <w:tmpl w:val="0058709C"/>
    <w:lvl w:ilvl="0" w:tplc="04847468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830B9"/>
    <w:multiLevelType w:val="hybridMultilevel"/>
    <w:tmpl w:val="C6C04552"/>
    <w:lvl w:ilvl="0" w:tplc="6AD2529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A1052"/>
    <w:multiLevelType w:val="hybridMultilevel"/>
    <w:tmpl w:val="98128E04"/>
    <w:lvl w:ilvl="0" w:tplc="68DE9F20">
      <w:start w:val="1"/>
      <w:numFmt w:val="bullet"/>
      <w:lvlText w:val=""/>
      <w:lvlJc w:val="left"/>
      <w:pPr>
        <w:tabs>
          <w:tab w:val="num" w:pos="680"/>
        </w:tabs>
        <w:ind w:left="680" w:firstLine="0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B7ACD"/>
    <w:multiLevelType w:val="hybridMultilevel"/>
    <w:tmpl w:val="D66C816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873233A"/>
    <w:multiLevelType w:val="hybridMultilevel"/>
    <w:tmpl w:val="3CEA2AC8"/>
    <w:lvl w:ilvl="0" w:tplc="53706B0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F29127C"/>
    <w:multiLevelType w:val="multilevel"/>
    <w:tmpl w:val="C1AA22C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0787C"/>
    <w:multiLevelType w:val="hybridMultilevel"/>
    <w:tmpl w:val="9A786B32"/>
    <w:lvl w:ilvl="0" w:tplc="2CD8DF7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80C9E"/>
    <w:multiLevelType w:val="hybridMultilevel"/>
    <w:tmpl w:val="632C27C6"/>
    <w:lvl w:ilvl="0" w:tplc="860270D6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B5CCD"/>
    <w:multiLevelType w:val="multilevel"/>
    <w:tmpl w:val="57B4F0D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847D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D05B5A"/>
    <w:multiLevelType w:val="multilevel"/>
    <w:tmpl w:val="9C3AEC1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283"/>
      </w:pPr>
      <w:rPr>
        <w:rFonts w:ascii="Symbol" w:hAnsi="Symbol" w:hint="default"/>
        <w:color w:val="004F80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58F45849"/>
    <w:multiLevelType w:val="hybridMultilevel"/>
    <w:tmpl w:val="57B4F0D0"/>
    <w:lvl w:ilvl="0" w:tplc="F7F073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A3024"/>
    <w:multiLevelType w:val="hybridMultilevel"/>
    <w:tmpl w:val="36665D1C"/>
    <w:lvl w:ilvl="0" w:tplc="6410225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66637"/>
    <w:multiLevelType w:val="hybridMultilevel"/>
    <w:tmpl w:val="4B1E123E"/>
    <w:lvl w:ilvl="0" w:tplc="E1121F6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47B47"/>
    <w:multiLevelType w:val="hybridMultilevel"/>
    <w:tmpl w:val="6C0C6F9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FE93680"/>
    <w:multiLevelType w:val="multilevel"/>
    <w:tmpl w:val="99B2CE2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4F80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6009713C"/>
    <w:multiLevelType w:val="multilevel"/>
    <w:tmpl w:val="6C0C6F9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5C74C34"/>
    <w:multiLevelType w:val="hybridMultilevel"/>
    <w:tmpl w:val="4B6AA000"/>
    <w:lvl w:ilvl="0" w:tplc="53706B02">
      <w:start w:val="1"/>
      <w:numFmt w:val="bullet"/>
      <w:lvlText w:val=""/>
      <w:lvlJc w:val="left"/>
      <w:pPr>
        <w:tabs>
          <w:tab w:val="num" w:pos="1353"/>
        </w:tabs>
        <w:ind w:left="1353" w:hanging="283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69997132"/>
    <w:multiLevelType w:val="hybridMultilevel"/>
    <w:tmpl w:val="A6AED23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9C73F9D"/>
    <w:multiLevelType w:val="hybridMultilevel"/>
    <w:tmpl w:val="40F8C942"/>
    <w:lvl w:ilvl="0" w:tplc="CA14E0A0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51E90"/>
    <w:multiLevelType w:val="hybridMultilevel"/>
    <w:tmpl w:val="7CD2E36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CDA4875"/>
    <w:multiLevelType w:val="hybridMultilevel"/>
    <w:tmpl w:val="0C22AF86"/>
    <w:lvl w:ilvl="0" w:tplc="53706B02">
      <w:start w:val="1"/>
      <w:numFmt w:val="bullet"/>
      <w:lvlText w:val=""/>
      <w:lvlJc w:val="left"/>
      <w:pPr>
        <w:tabs>
          <w:tab w:val="num" w:pos="1353"/>
        </w:tabs>
        <w:ind w:left="1353" w:hanging="283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6FE44C01"/>
    <w:multiLevelType w:val="multilevel"/>
    <w:tmpl w:val="632C27C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85D8C"/>
    <w:multiLevelType w:val="hybridMultilevel"/>
    <w:tmpl w:val="25266EE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604411B"/>
    <w:multiLevelType w:val="hybridMultilevel"/>
    <w:tmpl w:val="2E9EACC0"/>
    <w:lvl w:ilvl="0" w:tplc="C43E1A38">
      <w:start w:val="1"/>
      <w:numFmt w:val="bullet"/>
      <w:pStyle w:val="LI"/>
      <w:lvlText w:val=""/>
      <w:lvlJc w:val="left"/>
      <w:pPr>
        <w:tabs>
          <w:tab w:val="num" w:pos="453"/>
        </w:tabs>
        <w:ind w:left="453" w:hanging="283"/>
      </w:pPr>
      <w:rPr>
        <w:rFonts w:ascii="Symbol" w:hAnsi="Symbol" w:hint="default"/>
        <w:color w:val="5F99C6"/>
        <w:sz w:val="21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A0C021E"/>
    <w:multiLevelType w:val="multilevel"/>
    <w:tmpl w:val="9476DCB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F3678"/>
    <w:multiLevelType w:val="hybridMultilevel"/>
    <w:tmpl w:val="A8E4B65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F8D1A2B"/>
    <w:multiLevelType w:val="multilevel"/>
    <w:tmpl w:val="98128E04"/>
    <w:lvl w:ilvl="0">
      <w:start w:val="1"/>
      <w:numFmt w:val="bullet"/>
      <w:lvlText w:val=""/>
      <w:lvlJc w:val="left"/>
      <w:pPr>
        <w:tabs>
          <w:tab w:val="num" w:pos="680"/>
        </w:tabs>
        <w:ind w:left="680" w:firstLine="0"/>
      </w:pPr>
      <w:rPr>
        <w:rFonts w:ascii="Symbol" w:hAnsi="Symbol" w:hint="default"/>
        <w:color w:val="004F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6"/>
  </w:num>
  <w:num w:numId="4">
    <w:abstractNumId w:val="15"/>
  </w:num>
  <w:num w:numId="5">
    <w:abstractNumId w:val="41"/>
  </w:num>
  <w:num w:numId="6">
    <w:abstractNumId w:val="38"/>
  </w:num>
  <w:num w:numId="7">
    <w:abstractNumId w:val="44"/>
  </w:num>
  <w:num w:numId="8">
    <w:abstractNumId w:val="21"/>
  </w:num>
  <w:num w:numId="9">
    <w:abstractNumId w:val="12"/>
  </w:num>
  <w:num w:numId="10">
    <w:abstractNumId w:val="32"/>
  </w:num>
  <w:num w:numId="11">
    <w:abstractNumId w:val="34"/>
  </w:num>
  <w:num w:numId="12">
    <w:abstractNumId w:val="29"/>
  </w:num>
  <w:num w:numId="13">
    <w:abstractNumId w:val="16"/>
  </w:num>
  <w:num w:numId="14">
    <w:abstractNumId w:val="26"/>
  </w:num>
  <w:num w:numId="15">
    <w:abstractNumId w:val="7"/>
  </w:num>
  <w:num w:numId="16">
    <w:abstractNumId w:val="25"/>
  </w:num>
  <w:num w:numId="17">
    <w:abstractNumId w:val="40"/>
  </w:num>
  <w:num w:numId="18">
    <w:abstractNumId w:val="5"/>
  </w:num>
  <w:num w:numId="19">
    <w:abstractNumId w:val="43"/>
  </w:num>
  <w:num w:numId="20">
    <w:abstractNumId w:val="37"/>
  </w:num>
  <w:num w:numId="21">
    <w:abstractNumId w:val="6"/>
  </w:num>
  <w:num w:numId="22">
    <w:abstractNumId w:val="14"/>
  </w:num>
  <w:num w:numId="23">
    <w:abstractNumId w:val="23"/>
  </w:num>
  <w:num w:numId="24">
    <w:abstractNumId w:val="30"/>
  </w:num>
  <w:num w:numId="25">
    <w:abstractNumId w:val="4"/>
  </w:num>
  <w:num w:numId="26">
    <w:abstractNumId w:val="18"/>
  </w:num>
  <w:num w:numId="27">
    <w:abstractNumId w:val="24"/>
  </w:num>
  <w:num w:numId="28">
    <w:abstractNumId w:val="2"/>
  </w:num>
  <w:num w:numId="29">
    <w:abstractNumId w:val="20"/>
  </w:num>
  <w:num w:numId="30">
    <w:abstractNumId w:val="45"/>
  </w:num>
  <w:num w:numId="31">
    <w:abstractNumId w:val="9"/>
  </w:num>
  <w:num w:numId="32">
    <w:abstractNumId w:val="17"/>
  </w:num>
  <w:num w:numId="33">
    <w:abstractNumId w:val="28"/>
  </w:num>
  <w:num w:numId="34">
    <w:abstractNumId w:val="22"/>
  </w:num>
  <w:num w:numId="35">
    <w:abstractNumId w:val="10"/>
  </w:num>
  <w:num w:numId="36">
    <w:abstractNumId w:val="39"/>
  </w:num>
  <w:num w:numId="37">
    <w:abstractNumId w:val="35"/>
  </w:num>
  <w:num w:numId="38">
    <w:abstractNumId w:val="3"/>
  </w:num>
  <w:num w:numId="39">
    <w:abstractNumId w:val="1"/>
  </w:num>
  <w:num w:numId="40">
    <w:abstractNumId w:val="31"/>
  </w:num>
  <w:num w:numId="41">
    <w:abstractNumId w:val="19"/>
  </w:num>
  <w:num w:numId="42">
    <w:abstractNumId w:val="42"/>
  </w:num>
  <w:num w:numId="43">
    <w:abstractNumId w:val="33"/>
  </w:num>
  <w:num w:numId="44">
    <w:abstractNumId w:val="27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F3"/>
    <w:rsid w:val="00033EF7"/>
    <w:rsid w:val="00077E4E"/>
    <w:rsid w:val="00080EF9"/>
    <w:rsid w:val="0009407D"/>
    <w:rsid w:val="000A3139"/>
    <w:rsid w:val="00152A76"/>
    <w:rsid w:val="001B1028"/>
    <w:rsid w:val="001B153C"/>
    <w:rsid w:val="001B697E"/>
    <w:rsid w:val="001F30A0"/>
    <w:rsid w:val="001F54AA"/>
    <w:rsid w:val="002155C4"/>
    <w:rsid w:val="002247A6"/>
    <w:rsid w:val="002517CC"/>
    <w:rsid w:val="00275715"/>
    <w:rsid w:val="00293911"/>
    <w:rsid w:val="002C24F5"/>
    <w:rsid w:val="002D7FB3"/>
    <w:rsid w:val="00323D98"/>
    <w:rsid w:val="00332C9D"/>
    <w:rsid w:val="003D563D"/>
    <w:rsid w:val="00413410"/>
    <w:rsid w:val="00447C09"/>
    <w:rsid w:val="00485547"/>
    <w:rsid w:val="004C25CF"/>
    <w:rsid w:val="0051637C"/>
    <w:rsid w:val="005264D8"/>
    <w:rsid w:val="006568C1"/>
    <w:rsid w:val="006676B3"/>
    <w:rsid w:val="00677F36"/>
    <w:rsid w:val="006834B0"/>
    <w:rsid w:val="006A4209"/>
    <w:rsid w:val="006A749A"/>
    <w:rsid w:val="00736F8D"/>
    <w:rsid w:val="0074603A"/>
    <w:rsid w:val="00752A5B"/>
    <w:rsid w:val="007A3010"/>
    <w:rsid w:val="007C5E9F"/>
    <w:rsid w:val="00832188"/>
    <w:rsid w:val="00862B02"/>
    <w:rsid w:val="00892A2D"/>
    <w:rsid w:val="008B03DE"/>
    <w:rsid w:val="008C684F"/>
    <w:rsid w:val="008E4121"/>
    <w:rsid w:val="008F344A"/>
    <w:rsid w:val="0090165E"/>
    <w:rsid w:val="009128C9"/>
    <w:rsid w:val="00914B93"/>
    <w:rsid w:val="0093454F"/>
    <w:rsid w:val="00952FA3"/>
    <w:rsid w:val="009568CC"/>
    <w:rsid w:val="0096652A"/>
    <w:rsid w:val="009A6EB0"/>
    <w:rsid w:val="009F2051"/>
    <w:rsid w:val="009F29E1"/>
    <w:rsid w:val="00A028A9"/>
    <w:rsid w:val="00A03B03"/>
    <w:rsid w:val="00A31B2C"/>
    <w:rsid w:val="00A52378"/>
    <w:rsid w:val="00A9516A"/>
    <w:rsid w:val="00AA76D7"/>
    <w:rsid w:val="00AE204A"/>
    <w:rsid w:val="00B50333"/>
    <w:rsid w:val="00B579A9"/>
    <w:rsid w:val="00B9481C"/>
    <w:rsid w:val="00BD7B7D"/>
    <w:rsid w:val="00C77F96"/>
    <w:rsid w:val="00CB6236"/>
    <w:rsid w:val="00D51831"/>
    <w:rsid w:val="00D902CC"/>
    <w:rsid w:val="00DA3144"/>
    <w:rsid w:val="00DC2A93"/>
    <w:rsid w:val="00DE4660"/>
    <w:rsid w:val="00E0002D"/>
    <w:rsid w:val="00E26284"/>
    <w:rsid w:val="00E32D47"/>
    <w:rsid w:val="00E45636"/>
    <w:rsid w:val="00E93396"/>
    <w:rsid w:val="00E965E3"/>
    <w:rsid w:val="00EB36EC"/>
    <w:rsid w:val="00EB5692"/>
    <w:rsid w:val="00ED3477"/>
    <w:rsid w:val="00EE4E54"/>
    <w:rsid w:val="00EF1582"/>
    <w:rsid w:val="00F21EBC"/>
    <w:rsid w:val="00F24D84"/>
    <w:rsid w:val="00F42DF3"/>
    <w:rsid w:val="00F73942"/>
    <w:rsid w:val="00F802DE"/>
    <w:rsid w:val="00F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45D430"/>
  <w15:docId w15:val="{D6A5CA9E-6EFB-4A08-9A8F-978FB416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03DE"/>
    <w:pPr>
      <w:spacing w:line="360" w:lineRule="auto"/>
    </w:pPr>
    <w:rPr>
      <w:rFonts w:ascii="Cambria" w:eastAsia="Times New Roman" w:hAnsi="Cambri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E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21EBC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1E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21EBC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F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7FB3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D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68CC"/>
    <w:pPr>
      <w:ind w:left="720"/>
      <w:contextualSpacing/>
    </w:pPr>
  </w:style>
  <w:style w:type="character" w:styleId="Seitenzahl">
    <w:name w:val="page number"/>
    <w:uiPriority w:val="99"/>
    <w:semiHidden/>
    <w:unhideWhenUsed/>
    <w:rsid w:val="00E0002D"/>
  </w:style>
  <w:style w:type="paragraph" w:customStyle="1" w:styleId="H1">
    <w:name w:val="H1"/>
    <w:basedOn w:val="Standard"/>
    <w:qFormat/>
    <w:rsid w:val="00752A5B"/>
    <w:pPr>
      <w:autoSpaceDE w:val="0"/>
      <w:autoSpaceDN w:val="0"/>
      <w:adjustRightInd w:val="0"/>
      <w:spacing w:after="200" w:line="760" w:lineRule="exact"/>
      <w:ind w:left="170"/>
    </w:pPr>
    <w:rPr>
      <w:rFonts w:eastAsia="Calibri" w:cs="Arial"/>
      <w:bCs/>
      <w:color w:val="48595F"/>
      <w:sz w:val="56"/>
      <w:szCs w:val="70"/>
      <w:lang w:val="en-US" w:eastAsia="en-US"/>
    </w:rPr>
  </w:style>
  <w:style w:type="paragraph" w:customStyle="1" w:styleId="H2">
    <w:name w:val="H2"/>
    <w:basedOn w:val="Standard"/>
    <w:qFormat/>
    <w:rsid w:val="00752A5B"/>
    <w:pPr>
      <w:autoSpaceDE w:val="0"/>
      <w:autoSpaceDN w:val="0"/>
      <w:adjustRightInd w:val="0"/>
      <w:spacing w:line="400" w:lineRule="exact"/>
      <w:ind w:left="170"/>
    </w:pPr>
    <w:rPr>
      <w:rFonts w:ascii="Calibri" w:eastAsia="Calibri" w:hAnsi="Calibri" w:cs="Arial"/>
      <w:color w:val="0074B0"/>
      <w:sz w:val="32"/>
      <w:szCs w:val="30"/>
      <w:lang w:val="en-US" w:eastAsia="en-US"/>
    </w:rPr>
  </w:style>
  <w:style w:type="paragraph" w:customStyle="1" w:styleId="P">
    <w:name w:val="P"/>
    <w:basedOn w:val="Standard"/>
    <w:qFormat/>
    <w:rsid w:val="00EE4E54"/>
    <w:pPr>
      <w:spacing w:line="280" w:lineRule="exact"/>
      <w:ind w:left="170"/>
    </w:pPr>
    <w:rPr>
      <w:sz w:val="21"/>
    </w:rPr>
  </w:style>
  <w:style w:type="paragraph" w:customStyle="1" w:styleId="H3">
    <w:name w:val="H3"/>
    <w:basedOn w:val="Standard"/>
    <w:qFormat/>
    <w:rsid w:val="00752A5B"/>
    <w:pPr>
      <w:spacing w:before="520" w:after="260" w:line="320" w:lineRule="exact"/>
      <w:ind w:left="170"/>
    </w:pPr>
    <w:rPr>
      <w:rFonts w:ascii="Calibri" w:eastAsia="Calibri" w:hAnsi="Calibri" w:cs="Arial"/>
      <w:color w:val="0074B0"/>
      <w:szCs w:val="24"/>
      <w:lang w:val="en-US" w:eastAsia="en-US"/>
    </w:rPr>
  </w:style>
  <w:style w:type="paragraph" w:customStyle="1" w:styleId="LI">
    <w:name w:val="LI"/>
    <w:basedOn w:val="Listenabsatz"/>
    <w:qFormat/>
    <w:rsid w:val="00AE204A"/>
    <w:pPr>
      <w:numPr>
        <w:numId w:val="42"/>
      </w:numPr>
      <w:spacing w:line="280" w:lineRule="exact"/>
      <w:ind w:left="454" w:hanging="284"/>
    </w:pPr>
    <w:rPr>
      <w:rFonts w:cs="Arial"/>
      <w:sz w:val="21"/>
      <w:szCs w:val="19"/>
      <w:lang w:val="en-US"/>
    </w:rPr>
  </w:style>
  <w:style w:type="character" w:styleId="Hyperlink">
    <w:name w:val="Hyperlink"/>
    <w:basedOn w:val="Absatz-Standardschriftart"/>
    <w:uiPriority w:val="99"/>
    <w:unhideWhenUsed/>
    <w:rsid w:val="006A42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4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lar.de/de/" TargetMode="External"/><Relationship Id="rId13" Type="http://schemas.openxmlformats.org/officeDocument/2006/relationships/hyperlink" Target="https://www.bmwi.de/Redaktion/DE/Dossier/transferinitiative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assau.orgelpunkt.com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mwi.de/ig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trolingo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mbf.de/SharedDocs/Publikationen/de/bmbf/1/168520_Ressortkonzept_zu_Sozialen_Innovationen.pdf;jsessionid=2B785FA44973424CD20F007BF79E8AB8.live091?__blob=publicationFile&amp;v=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abular.a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ila-health.com" TargetMode="External"/><Relationship Id="rId14" Type="http://schemas.openxmlformats.org/officeDocument/2006/relationships/hyperlink" Target="https://www.bmwi.de/Redaktion/DE/Publikationen/Technologie/von-der-idee-zum-markterfolg-programme-fuer-einen-innovativen-mittelstand.htm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GJ2019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B6B69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5FD8F-439C-4846-B152-C8DE49E8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5757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Links>
    <vt:vector size="6" baseType="variant">
      <vt:variant>
        <vt:i4>2424945</vt:i4>
      </vt:variant>
      <vt:variant>
        <vt:i4>8281</vt:i4>
      </vt:variant>
      <vt:variant>
        <vt:i4>1025</vt:i4>
      </vt:variant>
      <vt:variant>
        <vt:i4>1</vt:i4>
      </vt:variant>
      <vt:variant>
        <vt:lpwstr>Briefkopf-BMWi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Grillo</dc:creator>
  <cp:keywords/>
  <dc:description/>
  <cp:lastModifiedBy>Einhorn, Annika, LB1</cp:lastModifiedBy>
  <cp:revision>2</cp:revision>
  <cp:lastPrinted>2020-03-05T16:12:00Z</cp:lastPrinted>
  <dcterms:created xsi:type="dcterms:W3CDTF">2021-08-30T10:36:00Z</dcterms:created>
  <dcterms:modified xsi:type="dcterms:W3CDTF">2021-08-30T10:36:00Z</dcterms:modified>
</cp:coreProperties>
</file>